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4A" w:rsidRDefault="00C4211D">
      <w:pPr>
        <w:spacing w:after="0"/>
        <w:ind w:right="34"/>
        <w:jc w:val="right"/>
      </w:pPr>
      <w:r>
        <w:rPr>
          <w:rFonts w:ascii="Garamond" w:eastAsia="Garamond" w:hAnsi="Garamond" w:cs="Garamond"/>
          <w:color w:val="434343"/>
          <w:sz w:val="36"/>
        </w:rPr>
        <w:t xml:space="preserve">Transitional Justice: Finally Healing the Wounds of Jim Crow </w:t>
      </w:r>
    </w:p>
    <w:p w:rsidR="00C0154A" w:rsidRDefault="00C4211D">
      <w:pPr>
        <w:spacing w:after="66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17"/>
        <w:ind w:left="370"/>
        <w:jc w:val="center"/>
      </w:pPr>
      <w:r>
        <w:rPr>
          <w:rFonts w:ascii="Garamond" w:eastAsia="Garamond" w:hAnsi="Garamond" w:cs="Garamond"/>
          <w:sz w:val="28"/>
        </w:rPr>
        <w:t>Acton University 2022</w:t>
      </w:r>
    </w:p>
    <w:p w:rsidR="00C0154A" w:rsidRDefault="00C4211D">
      <w:pPr>
        <w:spacing w:after="0"/>
        <w:ind w:left="447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:rsidR="00C0154A" w:rsidRDefault="00C4211D">
      <w:pPr>
        <w:spacing w:after="16"/>
        <w:ind w:left="390" w:hanging="10"/>
        <w:jc w:val="center"/>
      </w:pPr>
      <w:r>
        <w:rPr>
          <w:rFonts w:ascii="Garamond" w:eastAsia="Garamond" w:hAnsi="Garamond" w:cs="Garamond"/>
          <w:sz w:val="24"/>
        </w:rPr>
        <w:t xml:space="preserve">Anthony B. Bradley </w:t>
      </w:r>
    </w:p>
    <w:p w:rsidR="00C0154A" w:rsidRDefault="00C4211D">
      <w:pPr>
        <w:spacing w:after="16"/>
        <w:ind w:left="390" w:right="8" w:hanging="10"/>
        <w:jc w:val="center"/>
      </w:pPr>
      <w:r>
        <w:rPr>
          <w:rFonts w:ascii="Garamond" w:eastAsia="Garamond" w:hAnsi="Garamond" w:cs="Garamond"/>
          <w:sz w:val="24"/>
        </w:rPr>
        <w:t xml:space="preserve">Professor of Religious Studies </w:t>
      </w:r>
      <w:bookmarkStart w:id="0" w:name="_GoBack"/>
      <w:bookmarkEnd w:id="0"/>
    </w:p>
    <w:p w:rsidR="00C0154A" w:rsidRDefault="00C4211D">
      <w:pPr>
        <w:spacing w:after="17"/>
        <w:ind w:left="365"/>
        <w:jc w:val="center"/>
      </w:pPr>
      <w:r>
        <w:rPr>
          <w:rFonts w:ascii="Garamond" w:eastAsia="Garamond" w:hAnsi="Garamond" w:cs="Garamond"/>
          <w:sz w:val="24"/>
        </w:rPr>
        <w:t xml:space="preserve">The King’s College </w:t>
      </w:r>
    </w:p>
    <w:p w:rsidR="00C0154A" w:rsidRDefault="00C4211D">
      <w:pPr>
        <w:spacing w:after="16"/>
        <w:ind w:left="390" w:right="7" w:hanging="10"/>
        <w:jc w:val="center"/>
      </w:pPr>
      <w:r>
        <w:rPr>
          <w:rFonts w:ascii="Garamond" w:eastAsia="Garamond" w:hAnsi="Garamond" w:cs="Garamond"/>
          <w:sz w:val="24"/>
        </w:rPr>
        <w:t xml:space="preserve">abradley@tkc.edu </w:t>
      </w:r>
    </w:p>
    <w:p w:rsidR="00C0154A" w:rsidRDefault="00C4211D">
      <w:pPr>
        <w:spacing w:after="16"/>
        <w:ind w:left="437"/>
        <w:jc w:val="center"/>
      </w:pPr>
      <w:r>
        <w:rPr>
          <w:rFonts w:ascii="Garamond" w:eastAsia="Garamond" w:hAnsi="Garamond" w:cs="Garamond"/>
          <w:sz w:val="24"/>
        </w:rPr>
        <w:t xml:space="preserve"> </w:t>
      </w:r>
    </w:p>
    <w:p w:rsidR="00C0154A" w:rsidRDefault="00C4211D">
      <w:pPr>
        <w:spacing w:after="16"/>
        <w:ind w:left="390" w:right="9" w:hanging="10"/>
        <w:jc w:val="center"/>
      </w:pPr>
      <w:r>
        <w:rPr>
          <w:rFonts w:ascii="Garamond" w:eastAsia="Garamond" w:hAnsi="Garamond" w:cs="Garamond"/>
          <w:sz w:val="24"/>
        </w:rPr>
        <w:t xml:space="preserve">Research Fellow </w:t>
      </w:r>
    </w:p>
    <w:p w:rsidR="00C0154A" w:rsidRDefault="00C4211D">
      <w:pPr>
        <w:spacing w:after="16"/>
        <w:ind w:left="390" w:right="10" w:hanging="10"/>
        <w:jc w:val="center"/>
      </w:pPr>
      <w:r>
        <w:rPr>
          <w:rFonts w:ascii="Garamond" w:eastAsia="Garamond" w:hAnsi="Garamond" w:cs="Garamond"/>
          <w:sz w:val="24"/>
        </w:rPr>
        <w:t>The Acton Institute</w:t>
      </w: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15"/>
        <w:ind w:left="432"/>
        <w:jc w:val="center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16"/>
        <w:ind w:left="432"/>
        <w:jc w:val="center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0"/>
          <w:numId w:val="1"/>
        </w:numPr>
        <w:spacing w:after="16"/>
        <w:ind w:hanging="339"/>
      </w:pPr>
      <w:r>
        <w:rPr>
          <w:rFonts w:ascii="Garamond" w:eastAsia="Garamond" w:hAnsi="Garamond" w:cs="Garamond"/>
        </w:rPr>
        <w:t xml:space="preserve">What Is Transitional Justice? </w:t>
      </w:r>
    </w:p>
    <w:p w:rsidR="00C0154A" w:rsidRDefault="00C4211D">
      <w:pPr>
        <w:spacing w:after="15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15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0"/>
          <w:numId w:val="1"/>
        </w:numPr>
        <w:spacing w:after="16"/>
        <w:ind w:hanging="339"/>
      </w:pPr>
      <w:r>
        <w:rPr>
          <w:rFonts w:ascii="Garamond" w:eastAsia="Garamond" w:hAnsi="Garamond" w:cs="Garamond"/>
        </w:rPr>
        <w:t xml:space="preserve">Seven Transitional Justice Principles </w:t>
      </w:r>
      <w:proofErr w:type="gramStart"/>
      <w:r>
        <w:rPr>
          <w:rFonts w:ascii="Garamond" w:eastAsia="Garamond" w:hAnsi="Garamond" w:cs="Garamond"/>
        </w:rPr>
        <w:t>In</w:t>
      </w:r>
      <w:proofErr w:type="gramEnd"/>
      <w:r>
        <w:rPr>
          <w:rFonts w:ascii="Garamond" w:eastAsia="Garamond" w:hAnsi="Garamond" w:cs="Garamond"/>
        </w:rPr>
        <w:t xml:space="preserve"> Light of Jim Crow </w:t>
      </w:r>
    </w:p>
    <w:p w:rsidR="00C0154A" w:rsidRDefault="00C4211D">
      <w:pPr>
        <w:spacing w:after="52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Prosecution </w:t>
      </w:r>
    </w:p>
    <w:p w:rsidR="00C0154A" w:rsidRDefault="00C4211D">
      <w:pPr>
        <w:spacing w:after="51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Investigations </w:t>
      </w:r>
    </w:p>
    <w:p w:rsidR="00C0154A" w:rsidRDefault="00C4211D">
      <w:pPr>
        <w:spacing w:after="51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Repairing Damages </w:t>
      </w:r>
    </w:p>
    <w:p w:rsidR="00C0154A" w:rsidRDefault="00C4211D">
      <w:pPr>
        <w:spacing w:after="47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Vetting Leaders </w:t>
      </w:r>
    </w:p>
    <w:p w:rsidR="00C0154A" w:rsidRDefault="00C4211D">
      <w:pPr>
        <w:spacing w:after="51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Historical Memory </w:t>
      </w:r>
    </w:p>
    <w:p w:rsidR="00C0154A" w:rsidRDefault="00C4211D">
      <w:pPr>
        <w:spacing w:after="51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Civil Society Institutions  </w:t>
      </w:r>
    </w:p>
    <w:p w:rsidR="00C0154A" w:rsidRDefault="00C4211D">
      <w:pPr>
        <w:spacing w:after="51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1"/>
          <w:numId w:val="1"/>
        </w:numPr>
        <w:spacing w:after="16"/>
        <w:ind w:hanging="275"/>
      </w:pPr>
      <w:r>
        <w:rPr>
          <w:rFonts w:ascii="Garamond" w:eastAsia="Garamond" w:hAnsi="Garamond" w:cs="Garamond"/>
        </w:rPr>
        <w:t xml:space="preserve">Rule of Law </w:t>
      </w:r>
    </w:p>
    <w:p w:rsidR="00C0154A" w:rsidRDefault="00C4211D">
      <w:pPr>
        <w:spacing w:after="15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numPr>
          <w:ilvl w:val="0"/>
          <w:numId w:val="1"/>
        </w:numPr>
        <w:spacing w:after="16"/>
        <w:ind w:hanging="339"/>
      </w:pPr>
      <w:r>
        <w:rPr>
          <w:rFonts w:ascii="Garamond" w:eastAsia="Garamond" w:hAnsi="Garamond" w:cs="Garamond"/>
        </w:rPr>
        <w:t xml:space="preserve">Conclusion </w:t>
      </w:r>
    </w:p>
    <w:p w:rsidR="00C0154A" w:rsidRDefault="00C4211D">
      <w:pPr>
        <w:spacing w:after="335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280"/>
      </w:pPr>
      <w:r>
        <w:rPr>
          <w:rFonts w:ascii="Garamond" w:eastAsia="Garamond" w:hAnsi="Garamond" w:cs="Garamond"/>
        </w:rPr>
        <w:t>For More</w:t>
      </w:r>
      <w:r>
        <w:rPr>
          <w:rFonts w:ascii="Garamond" w:eastAsia="Garamond" w:hAnsi="Garamond" w:cs="Garamond"/>
          <w:sz w:val="24"/>
        </w:rPr>
        <w:t>: “</w:t>
      </w:r>
      <w:r>
        <w:rPr>
          <w:rFonts w:ascii="Garamond" w:eastAsia="Garamond" w:hAnsi="Garamond" w:cs="Garamond"/>
          <w:sz w:val="20"/>
        </w:rPr>
        <w:t xml:space="preserve">The Chicago Principles on Post-Conflict Justice,” (2007); </w:t>
      </w:r>
      <w:r>
        <w:rPr>
          <w:rFonts w:ascii="Garamond" w:eastAsia="Garamond" w:hAnsi="Garamond" w:cs="Garamond"/>
          <w:i/>
          <w:sz w:val="20"/>
        </w:rPr>
        <w:t>The Conceptual Foundations of Transitional Justice</w:t>
      </w:r>
      <w:r>
        <w:rPr>
          <w:rFonts w:ascii="Garamond" w:eastAsia="Garamond" w:hAnsi="Garamond" w:cs="Garamond"/>
          <w:sz w:val="20"/>
        </w:rPr>
        <w:t>, Colleen Murphy (Cambridge University Press, 2017)</w:t>
      </w:r>
      <w:r>
        <w:rPr>
          <w:rFonts w:ascii="Garamond" w:eastAsia="Garamond" w:hAnsi="Garamond" w:cs="Garamond"/>
          <w:i/>
          <w:sz w:val="20"/>
        </w:rPr>
        <w:t xml:space="preserve"> </w:t>
      </w:r>
      <w:r>
        <w:rPr>
          <w:rFonts w:ascii="Garamond" w:eastAsia="Garamond" w:hAnsi="Garamond" w:cs="Garamond"/>
          <w:sz w:val="20"/>
        </w:rPr>
        <w:t xml:space="preserve"> </w:t>
      </w:r>
    </w:p>
    <w:p w:rsidR="00C0154A" w:rsidRDefault="00C4211D">
      <w:pPr>
        <w:spacing w:after="15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136"/>
      </w:pPr>
      <w:r>
        <w:rPr>
          <w:rFonts w:ascii="Garamond" w:eastAsia="Garamond" w:hAnsi="Garamond" w:cs="Garamond"/>
        </w:rPr>
        <w:t xml:space="preserve"> </w:t>
      </w:r>
    </w:p>
    <w:p w:rsidR="00C0154A" w:rsidRDefault="00C4211D">
      <w:pPr>
        <w:spacing w:after="0"/>
        <w:ind w:left="467"/>
        <w:jc w:val="center"/>
      </w:pPr>
      <w:r>
        <w:rPr>
          <w:rFonts w:ascii="Garamond" w:eastAsia="Garamond" w:hAnsi="Garamond" w:cs="Garamond"/>
          <w:sz w:val="36"/>
        </w:rPr>
        <w:t xml:space="preserve"> </w:t>
      </w:r>
    </w:p>
    <w:p w:rsidR="00C0154A" w:rsidRDefault="00C4211D">
      <w:pPr>
        <w:spacing w:after="0"/>
        <w:ind w:left="432"/>
        <w:jc w:val="center"/>
      </w:pPr>
      <w:r>
        <w:rPr>
          <w:rFonts w:ascii="Garamond" w:eastAsia="Garamond" w:hAnsi="Garamond" w:cs="Garamond"/>
        </w:rPr>
        <w:lastRenderedPageBreak/>
        <w:t xml:space="preserve"> </w:t>
      </w:r>
    </w:p>
    <w:sectPr w:rsidR="00C0154A">
      <w:pgSz w:w="12240" w:h="15840"/>
      <w:pgMar w:top="1440" w:right="181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530A5"/>
    <w:multiLevelType w:val="hybridMultilevel"/>
    <w:tmpl w:val="C1AC6E7A"/>
    <w:lvl w:ilvl="0" w:tplc="A8DC70F2">
      <w:start w:val="1"/>
      <w:numFmt w:val="upperRoman"/>
      <w:lvlText w:val="%1."/>
      <w:lvlJc w:val="left"/>
      <w:pPr>
        <w:ind w:left="3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ACCB6">
      <w:start w:val="1"/>
      <w:numFmt w:val="upperLetter"/>
      <w:lvlText w:val="%2."/>
      <w:lvlJc w:val="left"/>
      <w:pPr>
        <w:ind w:left="9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A099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8876A">
      <w:start w:val="1"/>
      <w:numFmt w:val="decimal"/>
      <w:lvlText w:val="%4"/>
      <w:lvlJc w:val="left"/>
      <w:pPr>
        <w:ind w:left="25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A96CC">
      <w:start w:val="1"/>
      <w:numFmt w:val="lowerLetter"/>
      <w:lvlText w:val="%5"/>
      <w:lvlJc w:val="left"/>
      <w:pPr>
        <w:ind w:left="32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67D68">
      <w:start w:val="1"/>
      <w:numFmt w:val="lowerRoman"/>
      <w:lvlText w:val="%6"/>
      <w:lvlJc w:val="left"/>
      <w:pPr>
        <w:ind w:left="39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A7DE">
      <w:start w:val="1"/>
      <w:numFmt w:val="decimal"/>
      <w:lvlText w:val="%7"/>
      <w:lvlJc w:val="left"/>
      <w:pPr>
        <w:ind w:left="46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AF07A">
      <w:start w:val="1"/>
      <w:numFmt w:val="lowerLetter"/>
      <w:lvlText w:val="%8"/>
      <w:lvlJc w:val="left"/>
      <w:pPr>
        <w:ind w:left="54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A2A08">
      <w:start w:val="1"/>
      <w:numFmt w:val="lowerRoman"/>
      <w:lvlText w:val="%9"/>
      <w:lvlJc w:val="left"/>
      <w:pPr>
        <w:ind w:left="61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4A"/>
    <w:rsid w:val="00C0154A"/>
    <w:rsid w:val="00C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C637"/>
  <w15:docId w15:val="{1B00F682-EBE4-45B3-A6C5-AC270A9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Bradley</dc:creator>
  <cp:keywords/>
  <cp:lastModifiedBy>Luke Strobel</cp:lastModifiedBy>
  <cp:revision>2</cp:revision>
  <dcterms:created xsi:type="dcterms:W3CDTF">2022-05-12T13:40:00Z</dcterms:created>
  <dcterms:modified xsi:type="dcterms:W3CDTF">2022-05-12T13:40:00Z</dcterms:modified>
</cp:coreProperties>
</file>