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FA" w:rsidRDefault="00B4658B">
      <w:pPr>
        <w:spacing w:after="252" w:line="259" w:lineRule="auto"/>
        <w:ind w:left="80" w:firstLine="0"/>
        <w:jc w:val="center"/>
      </w:pPr>
      <w:r>
        <w:rPr>
          <w:sz w:val="28"/>
        </w:rPr>
        <w:t xml:space="preserve"> </w:t>
      </w:r>
      <w:bookmarkStart w:id="0" w:name="_GoBack"/>
      <w:bookmarkEnd w:id="0"/>
    </w:p>
    <w:p w:rsidR="00F508FA" w:rsidRDefault="00B4658B">
      <w:pPr>
        <w:spacing w:after="256" w:line="259" w:lineRule="auto"/>
        <w:ind w:left="20"/>
        <w:jc w:val="center"/>
      </w:pPr>
      <w:r>
        <w:rPr>
          <w:sz w:val="28"/>
        </w:rPr>
        <w:t>Acton University 2022</w:t>
      </w:r>
    </w:p>
    <w:p w:rsidR="00F508FA" w:rsidRDefault="00B4658B">
      <w:pPr>
        <w:spacing w:after="213" w:line="259" w:lineRule="auto"/>
        <w:ind w:left="20"/>
        <w:jc w:val="center"/>
      </w:pPr>
      <w:r>
        <w:rPr>
          <w:sz w:val="28"/>
        </w:rPr>
        <w:t xml:space="preserve">Outline of "Islam, Reason and Freedom" lecture by Mustafa Akyol </w:t>
      </w:r>
    </w:p>
    <w:p w:rsidR="00F508FA" w:rsidRDefault="00B4658B">
      <w:pPr>
        <w:spacing w:after="135"/>
        <w:ind w:left="-5"/>
      </w:pPr>
      <w:r>
        <w:t>It is no secret today that Islam has authoritarian interpretations that reject the principles of human freedom. This includes imposing religion through state power, punishing people for "apostasy" or "blasphemy," or degrading women or minorities. This lect</w:t>
      </w:r>
      <w:r>
        <w:t xml:space="preserve">ure will delve into the formative centuries of Islam to map out the roots of the problem, while also showing the sources for progress. It will explain where the Qur'an and the Muslim tradition stands on reason, freedom and natural law. </w:t>
      </w:r>
    </w:p>
    <w:p w:rsidR="00F508FA" w:rsidRDefault="00B4658B">
      <w:pPr>
        <w:spacing w:after="127" w:line="259" w:lineRule="auto"/>
        <w:ind w:left="0" w:firstLine="0"/>
      </w:pPr>
      <w:r>
        <w:t xml:space="preserve"> </w:t>
      </w:r>
    </w:p>
    <w:p w:rsidR="00F508FA" w:rsidRDefault="00B4658B">
      <w:pPr>
        <w:ind w:left="-5"/>
      </w:pPr>
      <w:r>
        <w:t xml:space="preserve">HIGHLIGHTS: </w:t>
      </w:r>
    </w:p>
    <w:p w:rsidR="00F508FA" w:rsidRDefault="00B4658B">
      <w:pPr>
        <w:numPr>
          <w:ilvl w:val="0"/>
          <w:numId w:val="1"/>
        </w:numPr>
        <w:ind w:hanging="260"/>
      </w:pPr>
      <w:r>
        <w:t xml:space="preserve">The </w:t>
      </w:r>
      <w:r>
        <w:t xml:space="preserve">first theological rift in Islam: Freewill vs. Predestination </w:t>
      </w:r>
    </w:p>
    <w:p w:rsidR="00F508FA" w:rsidRDefault="00B4658B">
      <w:pPr>
        <w:numPr>
          <w:ilvl w:val="0"/>
          <w:numId w:val="1"/>
        </w:numPr>
        <w:ind w:hanging="260"/>
      </w:pPr>
      <w:r>
        <w:t xml:space="preserve">The </w:t>
      </w:r>
      <w:proofErr w:type="spellStart"/>
      <w:r>
        <w:t>Mu’tazilites</w:t>
      </w:r>
      <w:proofErr w:type="spellEnd"/>
      <w:r>
        <w:t xml:space="preserve"> vs. </w:t>
      </w:r>
      <w:proofErr w:type="spellStart"/>
      <w:r>
        <w:t>Ash’arites</w:t>
      </w:r>
      <w:proofErr w:type="spellEnd"/>
      <w:r>
        <w:t xml:space="preserve"> — or Ethical Objectivism vs. Divine Command Theory </w:t>
      </w:r>
    </w:p>
    <w:p w:rsidR="00F508FA" w:rsidRDefault="00B4658B">
      <w:pPr>
        <w:numPr>
          <w:ilvl w:val="0"/>
          <w:numId w:val="1"/>
        </w:numPr>
        <w:ind w:hanging="260"/>
      </w:pPr>
      <w:r>
        <w:t xml:space="preserve">The </w:t>
      </w:r>
      <w:proofErr w:type="spellStart"/>
      <w:r>
        <w:rPr>
          <w:i/>
        </w:rPr>
        <w:t>falasifa</w:t>
      </w:r>
      <w:proofErr w:type="spellEnd"/>
      <w:r>
        <w:t xml:space="preserve">, or “philosophers,” and their waning </w:t>
      </w:r>
    </w:p>
    <w:p w:rsidR="00F508FA" w:rsidRDefault="00B4658B">
      <w:pPr>
        <w:numPr>
          <w:ilvl w:val="0"/>
          <w:numId w:val="1"/>
        </w:numPr>
        <w:ind w:hanging="260"/>
      </w:pPr>
      <w:r>
        <w:t xml:space="preserve">The </w:t>
      </w:r>
      <w:proofErr w:type="spellStart"/>
      <w:r>
        <w:rPr>
          <w:i/>
        </w:rPr>
        <w:t>maqasid</w:t>
      </w:r>
      <w:proofErr w:type="spellEnd"/>
      <w:r>
        <w:t xml:space="preserve">, or “intentions,” of the Sharia vs. literalism </w:t>
      </w:r>
    </w:p>
    <w:p w:rsidR="00F508FA" w:rsidRDefault="00B4658B">
      <w:pPr>
        <w:numPr>
          <w:ilvl w:val="0"/>
          <w:numId w:val="1"/>
        </w:numPr>
        <w:ind w:hanging="260"/>
      </w:pPr>
      <w:r>
        <w:t xml:space="preserve">The challenge of modernity </w:t>
      </w:r>
    </w:p>
    <w:p w:rsidR="00F508FA" w:rsidRDefault="00B4658B">
      <w:pPr>
        <w:numPr>
          <w:ilvl w:val="0"/>
          <w:numId w:val="1"/>
        </w:numPr>
        <w:ind w:hanging="260"/>
      </w:pPr>
      <w:r>
        <w:t xml:space="preserve">Issues with the Sharia today: Freedom of religion, freedom </w:t>
      </w:r>
      <w:r>
        <w:rPr>
          <w:i/>
        </w:rPr>
        <w:t>from</w:t>
      </w:r>
      <w:r>
        <w:t xml:space="preserve"> religion, equality before law, secular state </w:t>
      </w:r>
    </w:p>
    <w:p w:rsidR="00F508FA" w:rsidRDefault="00B4658B">
      <w:pPr>
        <w:numPr>
          <w:ilvl w:val="0"/>
          <w:numId w:val="1"/>
        </w:numPr>
        <w:ind w:hanging="260"/>
      </w:pPr>
      <w:r>
        <w:t>Reformist — or “</w:t>
      </w:r>
      <w:proofErr w:type="spellStart"/>
      <w:r>
        <w:t>renewalist</w:t>
      </w:r>
      <w:proofErr w:type="spellEnd"/>
      <w:r>
        <w:t xml:space="preserve">” </w:t>
      </w:r>
      <w:proofErr w:type="gramStart"/>
      <w:r>
        <w:t>—  arguments</w:t>
      </w:r>
      <w:proofErr w:type="gramEnd"/>
      <w:r>
        <w:t xml:space="preserve"> in contemporary Islam  </w:t>
      </w:r>
    </w:p>
    <w:p w:rsidR="00F508FA" w:rsidRDefault="00B4658B">
      <w:pPr>
        <w:spacing w:after="295" w:line="259" w:lineRule="auto"/>
        <w:ind w:left="0" w:firstLine="0"/>
      </w:pPr>
      <w:r>
        <w:t xml:space="preserve"> </w:t>
      </w:r>
    </w:p>
    <w:p w:rsidR="00F508FA" w:rsidRDefault="00B4658B">
      <w:pPr>
        <w:spacing w:after="266"/>
        <w:ind w:left="-5"/>
      </w:pPr>
      <w:r>
        <w:t xml:space="preserve">SUGGESTED READING </w:t>
      </w:r>
    </w:p>
    <w:p w:rsidR="00F508FA" w:rsidRDefault="00B4658B">
      <w:pPr>
        <w:numPr>
          <w:ilvl w:val="0"/>
          <w:numId w:val="2"/>
        </w:numPr>
        <w:spacing w:after="265"/>
        <w:ind w:hanging="140"/>
      </w:pPr>
      <w:r>
        <w:t xml:space="preserve">Mustafa Akyol, </w:t>
      </w:r>
      <w:r>
        <w:rPr>
          <w:i/>
        </w:rPr>
        <w:t>Islam without Extremes: A Muslim Case for Liberty</w:t>
      </w:r>
      <w:r>
        <w:t xml:space="preserve">, WW Norton, 2011 (Available at the Acton University Book Store)  </w:t>
      </w:r>
    </w:p>
    <w:p w:rsidR="00F508FA" w:rsidRDefault="00B4658B">
      <w:pPr>
        <w:numPr>
          <w:ilvl w:val="0"/>
          <w:numId w:val="2"/>
        </w:numPr>
        <w:spacing w:after="274" w:line="242" w:lineRule="auto"/>
        <w:ind w:hanging="140"/>
      </w:pPr>
      <w:r>
        <w:t xml:space="preserve">Daniel Philpott, </w:t>
      </w:r>
      <w:r>
        <w:rPr>
          <w:i/>
        </w:rPr>
        <w:t xml:space="preserve">Religious Freedom in Islam: The Fate of a Universal Human Right in the Muslim World Today, </w:t>
      </w:r>
      <w:r>
        <w:t xml:space="preserve">Oxford University Press, 2019 </w:t>
      </w:r>
    </w:p>
    <w:p w:rsidR="00F508FA" w:rsidRDefault="00B4658B">
      <w:pPr>
        <w:numPr>
          <w:ilvl w:val="0"/>
          <w:numId w:val="2"/>
        </w:numPr>
        <w:spacing w:after="274" w:line="242" w:lineRule="auto"/>
        <w:ind w:hanging="140"/>
      </w:pPr>
      <w:r>
        <w:t>K</w:t>
      </w:r>
      <w:r>
        <w:t xml:space="preserve">haled </w:t>
      </w:r>
      <w:proofErr w:type="spellStart"/>
      <w:r>
        <w:t>Abou</w:t>
      </w:r>
      <w:proofErr w:type="spellEnd"/>
      <w:r>
        <w:t xml:space="preserve"> </w:t>
      </w:r>
      <w:proofErr w:type="spellStart"/>
      <w:r>
        <w:t>Fadl</w:t>
      </w:r>
      <w:proofErr w:type="spellEnd"/>
      <w:r>
        <w:t xml:space="preserve">, </w:t>
      </w:r>
      <w:r>
        <w:rPr>
          <w:i/>
        </w:rPr>
        <w:t xml:space="preserve">Reasoning with God: Reclaiming </w:t>
      </w:r>
      <w:proofErr w:type="spellStart"/>
      <w:proofErr w:type="gramStart"/>
      <w:r>
        <w:rPr>
          <w:i/>
        </w:rPr>
        <w:t>Shari‘</w:t>
      </w:r>
      <w:proofErr w:type="gramEnd"/>
      <w:r>
        <w:rPr>
          <w:i/>
        </w:rPr>
        <w:t>ah</w:t>
      </w:r>
      <w:proofErr w:type="spellEnd"/>
      <w:r>
        <w:rPr>
          <w:i/>
        </w:rPr>
        <w:t xml:space="preserve"> in the Modern Age</w:t>
      </w:r>
      <w:r>
        <w:t xml:space="preserve">, Rowman &amp; Littlefield, 2014 </w:t>
      </w:r>
    </w:p>
    <w:p w:rsidR="00F508FA" w:rsidRDefault="00B4658B">
      <w:pPr>
        <w:numPr>
          <w:ilvl w:val="0"/>
          <w:numId w:val="2"/>
        </w:numPr>
        <w:spacing w:after="262"/>
        <w:ind w:hanging="140"/>
      </w:pPr>
      <w:r>
        <w:t xml:space="preserve">George F. Hourani, </w:t>
      </w:r>
      <w:r>
        <w:rPr>
          <w:i/>
        </w:rPr>
        <w:t>Reason and Tradition in Islamic Ethics</w:t>
      </w:r>
      <w:r>
        <w:t xml:space="preserve">, Cambridge University Press, 2007 </w:t>
      </w:r>
    </w:p>
    <w:p w:rsidR="00F508FA" w:rsidRDefault="00B4658B">
      <w:pPr>
        <w:spacing w:after="252" w:line="259" w:lineRule="auto"/>
        <w:ind w:left="0" w:firstLine="0"/>
      </w:pPr>
      <w:r>
        <w:t xml:space="preserve"> </w:t>
      </w:r>
    </w:p>
    <w:p w:rsidR="00F508FA" w:rsidRDefault="00B4658B">
      <w:pPr>
        <w:spacing w:after="269"/>
        <w:ind w:left="-5"/>
      </w:pPr>
      <w:r>
        <w:t>You can read articles by Mustafa Akyol on these topics in</w:t>
      </w:r>
      <w:r>
        <w:t xml:space="preserve"> his </w:t>
      </w:r>
      <w:r>
        <w:rPr>
          <w:color w:val="0463C1"/>
          <w:u w:val="single" w:color="0463C1"/>
        </w:rPr>
        <w:t>New York Times page</w:t>
      </w:r>
      <w:r>
        <w:t xml:space="preserve">, and follow him on Twitter at </w:t>
      </w:r>
      <w:r>
        <w:rPr>
          <w:color w:val="0463C1"/>
          <w:u w:val="single" w:color="0463C1"/>
        </w:rPr>
        <w:t>@</w:t>
      </w:r>
      <w:proofErr w:type="spellStart"/>
      <w:r>
        <w:rPr>
          <w:color w:val="0463C1"/>
          <w:u w:val="single" w:color="0463C1"/>
        </w:rPr>
        <w:t>akyolinEnglish</w:t>
      </w:r>
      <w:proofErr w:type="spellEnd"/>
      <w:r>
        <w:t xml:space="preserve">. </w:t>
      </w:r>
    </w:p>
    <w:p w:rsidR="00F508FA" w:rsidRDefault="00B4658B">
      <w:pPr>
        <w:spacing w:after="0" w:line="259" w:lineRule="auto"/>
        <w:ind w:left="720" w:firstLine="0"/>
      </w:pPr>
      <w:r>
        <w:t xml:space="preserve"> </w:t>
      </w:r>
    </w:p>
    <w:sectPr w:rsidR="00F508FA">
      <w:pgSz w:w="12240" w:h="15840"/>
      <w:pgMar w:top="1440" w:right="1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7270D"/>
    <w:multiLevelType w:val="hybridMultilevel"/>
    <w:tmpl w:val="D3F29632"/>
    <w:lvl w:ilvl="0" w:tplc="7A708D0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5C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A5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2A8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9E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8AA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02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45D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F420CB"/>
    <w:multiLevelType w:val="hybridMultilevel"/>
    <w:tmpl w:val="A162B7B6"/>
    <w:lvl w:ilvl="0" w:tplc="75DAB57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E8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E1F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E2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2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0F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2B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44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20B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FA"/>
    <w:rsid w:val="00B4658B"/>
    <w:rsid w:val="00F5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A77"/>
  <w15:docId w15:val="{04441646-78AA-49FC-BD33-F5FFE46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Reason and Freedom Outline</dc:title>
  <dc:subject/>
  <dc:creator>Mustafa Akyol</dc:creator>
  <cp:keywords/>
  <cp:lastModifiedBy>Luke Strobel</cp:lastModifiedBy>
  <cp:revision>2</cp:revision>
  <dcterms:created xsi:type="dcterms:W3CDTF">2022-04-18T20:33:00Z</dcterms:created>
  <dcterms:modified xsi:type="dcterms:W3CDTF">2022-04-18T20:33:00Z</dcterms:modified>
</cp:coreProperties>
</file>